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205</w:t>
      </w:r>
    </w:p>
    <w:p>
      <w:r>
        <w:t>Bundesgericht (BGE), 2012-01-01, FR</w:t>
      </w:r>
    </w:p>
    <w:p>
      <w:r>
        <w:rPr>
          <w:b/>
        </w:rPr>
        <w:t xml:space="preserve">Quelle: </w:t>
      </w:r>
      <w:r>
        <w:t>https://mcp.opencaselaw.ch/entscheid/bge_138 I 205</w:t>
      </w:r>
    </w:p>
    <w:p>
      <w:r>
        <w:t>FR: ATF 138 I 205</w:t>
      </w:r>
    </w:p>
    <w:p>
      <w:r>
        <w:t>IT: DTF 138 I 205</w:t>
      </w:r>
    </w:p>
    <w:p>
      <w:pPr>
        <w:pStyle w:val="Heading2"/>
      </w:pPr>
      <w:r>
        <w:t>Regeste</w:t>
      </w:r>
    </w:p>
    <w:p>
      <w:r>
        <w:t>Regeste Art. 16 ATSG; Art. 27 UNO-Pakt II; Art. 4 Abs. 1 und Art. 5 Abs. 1 des Rahmenübereinkommens zum Schutz nationaler Minderheiten; Art. 8 Ziff. 1 EMRK; Art. 8 Abs. 2 BV; Invaliditätsbemessung bei einer zur Gemeinschaft der Fahrenden gehörenden Person. Im Falle einer zur Gemeinschaft der Fahrenden gehörenden Person wirkt die Bemessung des Invalideneinkommens anhand allgemeiner statistischer Daten indirekt diskriminierend, soweit dieses Vorgehen dazu beiträgt, die versicherte Person der Bevölkerungsmehrheit anzugleichen (E. 6.2).</w:t>
      </w:r>
    </w:p>
    <w:p>
      <w:pPr>
        <w:pStyle w:val="Heading2"/>
      </w:pPr>
      <w:r>
        <w:t>Erwägungen</w:t>
      </w:r>
    </w:p>
    <w:p>
      <w:r>
        <w:rPr>
          <w:b/>
        </w:rPr>
        <w:t>E. 2</w:t>
      </w:r>
    </w:p>
    <w:p>
      <w:r>
        <w:t>Selon les constatations de la juridiction cantonale, qui ne sont pas contestées par les parties et qui lient par voie de conséquence le Tribunal fédéral, la recourante dispose, d'un point de vue médical, d'une capacité de travail pleine et entière dans une activité adaptée à ses limitations fonctionnelles (sans port de charges de manière itérative de plus de 10 kilos, sans maintien de longues positions assise ou debout immobile, ne nécessitant pas la flexion antérieure prolongée du tronc ou des activités en porte-à-faux ou en zone basse), étant admis que la nature des activités qu'elle exerçait auparavant dans le domaine de la brocante n'est pas compatible avec lesdites limitations. Est litigieuse la question de savoir s'il existe des activités exigibles qui s'accordent avec son mode de vie semi-nomade et ses facultés intellectuelles et professionnelles.</w:t>
      </w:r>
    </w:p>
    <w:p>
      <w:r>
        <w:rPr>
          <w:b/>
        </w:rPr>
        <w:t>E. 2.1</w:t>
      </w:r>
    </w:p>
    <w:p>
      <w:r>
        <w:t>La juridiction cantonale a considéré que les principes valables en matière d'évaluation de l'invalidité étaient applicables à toute personne vivant en Suisse qui requérait l'octroi de prestations de l'assurance-invalidité. La loi permettait notamment aux familles, comme celle de la recourante qui est nomade, d'obtenir des prestations d'invalidité, dans l'hypothèse où l'un de ses membres devenait invalide. Par ailleurs, l' art. 16 LPGA (RS 830.1) n'avait pas pour objectif de sédentariser les assurés appartenant à la communauté des gens du BGE 138 I 205 S. 208 voyage ou de remettre en question leur mode de vie. Exiger de la recourante qu'elle exerce une activité légère adaptée à ses limitations fonctionnelles n'était dès lors pas incompatible avec son mode de vie nomade et n'exigeait pas d'elle qu'elle se sédentarise. En ce sens, la recourante n'était pas traitée différemment des autres citoyens suisses, qui étaient également dans l'obligation de se reconvertir professionnellement pour mettre pleinement en valeur leur capacité résiduelle de travail, conformément à l'obligation de réduire le dommage résultant de l'invalidité. Par conséquent, la recourante ne faisait pas l'objet d'une discrimination directe ou indirecte par le biais de l'application de l' art. 16 LPGA . C'est ainsi à bon droit que l'office AI s'était fondé sur les données économiques statistiques pour déterminer le revenu d'invalide.</w:t>
      </w:r>
    </w:p>
    <w:p>
      <w:r>
        <w:rPr>
          <w:b/>
        </w:rPr>
        <w:t>E. 2.2</w:t>
      </w:r>
    </w:p>
    <w:p>
      <w:r>
        <w:t>La recourante reproche à la juridiction cantonale d'avoir violé le droit fédéral, en considérant qu'il existait des activités exigibles de sa part. Les activités envisagées ou identifiées comme exigibles au cours de la procédure seraient en effet incompatibles avec le mode de vie traditionnel nomade des gens du voyage. Elles exigeraient qu'elle se sédentarise et renonce à son mode de vie traditionnel et à sa famille (à moins que sa famille ne se sédentarise et renonce elle aussi à son mode de vie), ce qui entraînerait incontestablement une atteinte grave à ses droits constitutionnels à la protection de son mode de vie ( art. 13 Cst. et 8 CEDH) et de sa vie de famille ( art. 13 Cst. et 8 CEDH), et au principe de la non-discrimination ( art. 8 Cst. et 14 CEDH). De plus, la juridiction cantonale aurait omis de tenir compte dans son analyse du fait qu'elle souffrait également, en plus de limitations fonctionnelles importantes, d'une absence de formation, d'une intelligence diminuée et de déficiences notables et handicapantes en français lu et écrit.</w:t>
      </w:r>
    </w:p>
    <w:p>
      <w:r>
        <w:rPr>
          <w:b/>
        </w:rPr>
        <w:t>E. 3.1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ch. 1.1.1.2). L'examen d'un éventuel droit à desprestations de l'assurance-invalidité doit par conséquent procéder d'une démarche au centre de laquelle figure avant tout la BGE 138 I 205 S. 209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w:t>
      </w:r>
    </w:p>
    <w:p>
      <w:r>
        <w:rPr>
          <w:b/>
        </w:rPr>
        <w:t>E. 3.2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w:t>
      </w:r>
    </w:p>
    <w:p>
      <w:r>
        <w:rPr>
          <w:b/>
        </w:rPr>
        <w:t>E. 3.3</w:t>
      </w:r>
    </w:p>
    <w:p>
      <w:r>
        <w:t>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BGE 138 I 205 S. 210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 ATF 113 V 22 consid. 4d p. 32, confirmé par ATF 134 I 105 consid. 8.2 p. 111; MARC HÜRZELER, Prävention im Haftpflicht- und Sozialversicherungsrecht, in Prävention im Recht, 2007, p. 172 s.).</w:t>
      </w:r>
    </w:p>
    <w:p>
      <w:r>
        <w:rPr>
          <w:b/>
        </w:rPr>
        <w:t>E. 4</w:t>
      </w:r>
    </w:p>
    <w:p>
      <w:r>
        <w:t>Les gens du voyage suisses (appelés également Tziganes) forment une communauté estimée à 30'000 personnes. Si la grande majorité d'entre eux mène aujourd'hui un mode de vie sédentaire, une frange importante de ce groupe continue d'avoir un mode de vie qui peut être caractérisé de semi-nomade. La tradition d'itinérance (ou nomadisme) reste et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(Office fédéral de la culture, Les gens du voyage en Suisse, www.bak.admin.ch , sous Création culturelle, Gens du voyage; JOËLLE SAMBUC BLOISE, La situation juridique des Tziganes en Suisse, 2007, p. 67).</w:t>
      </w:r>
    </w:p>
    <w:p>
      <w:r>
        <w:rPr>
          <w:b/>
        </w:rPr>
        <w:t>E. 5</w:t>
      </w:r>
    </w:p>
    <w:p>
      <w:r>
        <w:t>Eu égard à la nature des griefs portés par la recourante devant le Tribunal fédéral, il convient d'examiner, à titre général, si et dans quelle mesure les membres de la communauté des gens du voyage bénéficient, en vertu du droit fédéral et international, d'une protection particulière en raison de leurs spécificités ethno-culturelles.</w:t>
      </w:r>
    </w:p>
    <w:p>
      <w:r>
        <w:rPr>
          <w:b/>
        </w:rPr>
        <w:t>E. 5.1</w:t>
      </w:r>
    </w:p>
    <w:p>
      <w:r>
        <w:t>D'après l'art. 27 du Pacte international relatif aux droits civils et politiques, conclu à New York le 16 décembre 1966 et entré en vigueur pour la Suisse le 18 septembre 1992 (ci-après: Pacte ONU II; BGE 138 I 205 S. 211 RS 0.103.2),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L' art. 27 Pacte ONU II ne consacre aucun droit collectif pour les minorités - ethniques, religieuses ou linguistiques - en tant que groupes, mais uniquement un droit individuel - directement invocable devant les tribunaux suisses -, appartenant aux membres de ces groupes, de voir leurs caractéristiques minoritaires respectées et promues (voir l'Observation générale n° 23 du Comité des droits de l'homme se rapportant au Pacte ONU II, in KÄLIN/MALINVERNI/NOWAK, La Suisse et les Pactes des Nations Unies relatifs aux droits de l'homme, 2 e éd. 1997, p. 550; voir également GIORGIO MALINVERNI, La Suisse et la protection des minorités [art. 27 Pacte II], in KÄLIN/MALINVERNI/NOWAK, op. cit., p. 233 ss). Considérant que les champs d'application de ces deux normes étaient identiques et leur restriction admissible aux mêmes conditions, le Tribunal fédéral a toutefois jugé que l' art. 27 Pacte ONU II n'offrait pas de garanties plus étendues que la protection de la vie privée et familiale consacrée à l' art. 8 CEDH , en tant que cette disposition protège le mode de vie tzigane ( ATF 129 II 321 consid. 3.4 p. 329; arrêt critiqué par SAMBUC BLOISE, op. cit., p. 216).</w:t>
      </w:r>
    </w:p>
    <w:p>
      <w:r>
        <w:rPr>
          <w:b/>
        </w:rPr>
        <w:t>E. 5.2</w:t>
      </w:r>
    </w:p>
    <w:p>
      <w:r>
        <w:t>En adhérant à la Convention-cadre du 1 er février 1995 pour la protection des minorités nationales (RS 0.441.1), la Suisse s'est engagée d'une part à garantir à toute personne appartenant à une minorité nationale le droit à l'égalité devant la loi et à une égale protection de la loi et à interdire toute discrimination fondée sur l'appartenance à une minorité nationale (art. 4 par. 1).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(art. 5 par. 1). A l'occasion de la ratification de cette Convention-cadre, la Suisse a fait la déclaration suivante: La Suisse déclare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BGE 138 I 205 S. 212 ensemble ce qui fait leur identité commune, notamment leur culture, leurs traditions, leur religion ou leur langue. Dans son message, le Conseil fédéral a, à ce propos, expressément précisé que la Convention-cadre pouvait être appliquée en Suisse aux minorités linguistiques nationales, mais aussi à d'autres groupes minoritaires de la population suisse, comme les membres de la communauté des gens du voyage (Message du 19 novembre 1997 relatif à la Convention-cadre du Conseil de l'Europe pour la protection des minorités nationales, FF 1998 1048 ch. 22; voir également le Rapport initial du gouvernement suisse sur la mise en oeuvre de la Convention-cadre pour la protection des minorités nationales, établi en 2001 à l'intention du Conseil de l'Europe, http://www.dfae.admin.ch/eda/fr/home/topics/eu/euroc/coeusw/coswtr.html ). Toutefois, la Convention ne contient pas de disposition directement applicable, mais impose aux Etats membres l'adoption de mesures, notamment législatives, visant à protéger l'existence des minorités nationales (voir également GIORGIO MALINVERNI, La Convention-cadre du Conseil de l'Europe pour la protection des minorités nationales, RSDIE 1995 p. 531; Avis de droit de l'Office fédéral de la justice du 27 mars 2002 concernant le statut juridique des gens du voyage en Suisse eu égard à leur qualité de minorité nationale reconnue, JAAC 2002 n° 50 p. 578).</w:t>
      </w:r>
    </w:p>
    <w:p>
      <w:r>
        <w:rPr>
          <w:b/>
        </w:rPr>
        <w:t>E. 5.3</w:t>
      </w:r>
    </w:p>
    <w:p>
      <w:r>
        <w:t>Contrairement au Pacte ONU II, le texte de la Convention de sauvegarde des droits de l'homme et des libertés fondamentales du 4 novembre 1950 (CEDH; RS 0.101) ne contient aucune norme garantissant explicitement les droits des minorités. Dans sa pratique, la Cour européenne des droits de l'homme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(arrêts de la CourEDH Chapman contre Royaume-Uni du 18 janvier 2001, Recueil CourEDH 2001-I p. 91 §§ 93 et 94). Même si l'appartenance à une minorité ne dispensait pas de respecter les lois destinées à protéger le bien commun, la Cour a considéré que l' art. 8 CEDH conférait aux membres d'une BGE 138 I 205 S. 213 minorité le droit à ce que les autorités prennent en considération leurs besoins spécifiques en raison de leur vulnérabilité en tant que membres de cette minorité, tant dans le cadre réglementaire que lors de la prise de décision dans un cas particulier (arrêts Chapman précité, § 96; Connors contre Royaume-Uni du 27 mai 2004 § 84; D.H. et autres contre République Tchèque du 13 novembre 2007 § 181).</w:t>
      </w:r>
    </w:p>
    <w:p>
      <w:r>
        <w:rPr>
          <w:b/>
        </w:rPr>
        <w:t>E. 5.4</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137 V 334 consid. 6.2.1 p. 348; ATF 135 I 49 consid. 4.1 p. 53). La notion de "mode de vie" vise plus particulièrement les groupes de personnes qui, par leur comportement ou leur forme de vie distincts, possèdent une identité propre; cette notion inclut à n'en pas douter la communauté des gens du voyage (ANDREAS RIEDER, Indirekte Diskriminierung - das Beispiel der Fahrenden, in WALTER KÄLIN, Das Verbot ethnisch-kultureller Diskriminierung, 1999, p. 164; BERNHARD PULVER, L'interdiction de la discrimination, 2003, p. 269). On précisera toutefois que le droit à la protection de son mode de vie présente un lien étroit avec le droit au respect de la vie privée et la liberté personnelle, consacrés respectivement aux art. 13 et 10 Cst. En tout état de cause, on ne saurait déduire de ces différentes libertés individuelles un droit quelconque à des prestations positives de l'Etat, notamment en matière d'assurance sociale; il appartient bien plutôt au législateur de définir les modalités d'un tel droit (HÄFELIN/HALLER/KELLER, Schweizerisches Bundesstaatsrecht, 7 e éd. 2008, p. 68 n. 213; sur l'ensemble de la question, voir également arrêt I 750/04 du 5 avril 2006 consid. 4.3 et les références, in SVR 2007 IV n° 1 p. 1).</w:t>
      </w:r>
    </w:p>
    <w:p>
      <w:r>
        <w:rPr>
          <w:b/>
        </w:rPr>
        <w:t>E. 5.5</w:t>
      </w:r>
    </w:p>
    <w:p>
      <w:r>
        <w:t>L' art. 8 al. 2 Cst. interdit non seulement la discrimination directe, mais également la discrimination indirecte. Une telle discrimination BGE 138 I 205 S. 214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(PULVER, op. cit., p. 153; RIEDER, op. cit., p. 161).</w:t>
      </w:r>
    </w:p>
    <w:p>
      <w:r>
        <w:rPr>
          <w:b/>
        </w:rPr>
        <w:t>E. 6.1</w:t>
      </w:r>
    </w:p>
    <w:p>
      <w:r>
        <w:t>Que ce soit en vertu des engagements pris sur le plan international ou en vertu de la protection offerte par les droits fondamentaux garantis par le droit fédéral, la Suisse reconnaît aujourd'hui le statut de minorité nationale à la communauté suisse des gens du voyage et s'est engagée à permettre à ce groupe de préserver les éléments essentiels de son identité ethno-culturelle. S'il n'est pas le lieu de tracer dans le cas particulier le contour précis de toutes les obligations que cela implique, on peut toutefois affirmer qu'il appartient aux autorités, lorsqu'elles appliquent le droit, de prendre en considération les spécificités et les particularités du mode de vie traditionnel de la communauté tzigane, parmi lesquelles figurent notamment la tradition de l'itinérance.</w:t>
      </w:r>
    </w:p>
    <w:p>
      <w:r>
        <w:rPr>
          <w:b/>
        </w:rPr>
        <w:t>E. 6.2</w:t>
      </w:r>
    </w:p>
    <w:p>
      <w:r>
        <w:t>Lorsqu'il y a lieu de définir, dans le cadre de l'évaluation du degré d'invalidité, le revenu qu'une personne appartenant à la communauté des gens du voyage et perpétuant la tradition d'itinérance de ce groupe serait capable de réaliser, il ne peut être fait abstraction des particularités intrinsèques de ce mode de vie. Comme on l'a vu, la vie nomade implique des déplacements continuels et réguliers d'un lieu à un autre, ce qui réduit de façon conséquente le champ des activités salariées envisageables (cf. supra consid. 4). Compte tenu de ces spécificités, le recours aux données économiques statistiques, telles qu'elles résultent de l'Enquête suisse sur la structure des salaires - généralement applicables lorsque la personne assurée n'a pas BGE 138 I 205 S. 215 repris d'activité lucrative après la survenance de l'atteinte à la santé ( ATF 129 V 472 consid. 4.2.1 p. 475) -, singulièrement le revenu auquel peuvent prétendre les femmes effectuant des activités simples et répétitives (niveau 4 de qualification), n'apparaît pas approprié à la situation des membres de la communauté des gens du voyage. En effet, les valeurs issues des données économiques statistiques tiennent compte de l'ensemble des branches économiques en Suisse (à l'exception de l'agriculture), dont la majeure partie exige une vie sédentaire et n'est pas conciliable avec le mode de vie tzigane. Eu égard à la protection accordée à ce mode de vie traditionnel par le droit fédéral et international (cf. supra consid. 5), il n'est pas admissible de considérer comme exigible l'exercice d'une activité salariée qui supposerait la sédentarisation de la personne assurée, la rupture avec sa famille et son mode de vie traditionnel, et, plus largement, un déracinement culturel (voir également arrêt du Tribunal fédéral des assurances I 224/99 du 5 mai 2000 consid. 3c). Il y a par conséquent lieu de constater que le recours aux données économiques statistiques pour évaluer le revenu d'invalide d'une personne appartenant à la communauté des gens du voyage, en tant qu'il contribue à assimiler une personne de ce groupe à la majorité de la population, aboutit indirectement à une discrimination importante, contraire aux droits fondamentaux.</w:t>
      </w:r>
    </w:p>
    <w:p>
      <w:r>
        <w:rPr>
          <w:b/>
        </w:rPr>
        <w:t>E. 6.3</w:t>
      </w:r>
    </w:p>
    <w:p>
      <w:r>
        <w:t>Compte tenu de ce qui précède, il s'avère que l'évaluation du degré d'invalidité opérée par l'office intimé repose sur des bases erronées. Cela étant, on ne saurait prétendre en l'état qu'il n'existe aucune activité exigible en regard des limitations fonctionnelles de la recourante et de son mode de vie traditionnel. Dans ces conditions, il convient de renvoyer la cause à l'office intimé afin qu'il examine concrètement si et dans quelle mesure la recourante est en mesure de tirer profit de sa capacité de travail dans une activité adaptée à ses limitations fonctionnelles et à ses aptitudes intellectuelles et professionnelles, et compatible avec le mode de vie traditionnel de la communauté des gens du voyage. Il lui appartiendra notamment d'examiner si et dans quelle mesure la recourante pourrait mettre en oeuvre sa capacité résiduelle de travail pendant les quatre mois durant lesquels elle réside de manière continue à X. (cf. arrêt I 750/04 du 5 avril 2006 consid. 5.4 et les références, in SVR 2007 IV n° 1 p.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